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C63047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256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854C78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854C78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E158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Болгарія, 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AE02A7" w:rsidRPr="00397051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514EAC">
        <w:rPr>
          <w:rStyle w:val="1840"/>
          <w:rFonts w:eastAsiaTheme="majorEastAsia"/>
          <w:kern w:val="2"/>
          <w:sz w:val="28"/>
          <w:szCs w:val="28"/>
        </w:rPr>
        <w:t>ьому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514EAC">
        <w:rPr>
          <w:rStyle w:val="1840"/>
          <w:rFonts w:eastAsiaTheme="majorEastAsia"/>
          <w:kern w:val="2"/>
          <w:sz w:val="28"/>
          <w:szCs w:val="28"/>
        </w:rPr>
        <w:t>ину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54C78">
        <w:rPr>
          <w:rStyle w:val="1840"/>
          <w:rFonts w:eastAsiaTheme="majorEastAsia"/>
          <w:kern w:val="2"/>
          <w:sz w:val="28"/>
          <w:szCs w:val="28"/>
        </w:rPr>
        <w:t>***</w:t>
      </w:r>
      <w:r w:rsidR="00514EAC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kern w:val="2"/>
          <w:sz w:val="28"/>
          <w:szCs w:val="28"/>
        </w:rPr>
        <w:t>***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20517">
        <w:rPr>
          <w:rStyle w:val="1840"/>
          <w:rFonts w:eastAsiaTheme="majorEastAsia"/>
          <w:kern w:val="2"/>
          <w:sz w:val="28"/>
          <w:szCs w:val="28"/>
        </w:rPr>
        <w:t>0</w:t>
      </w:r>
      <w:r w:rsidR="00AE02A7">
        <w:rPr>
          <w:rStyle w:val="1840"/>
          <w:rFonts w:eastAsiaTheme="majorEastAsia"/>
          <w:kern w:val="2"/>
          <w:sz w:val="28"/>
          <w:szCs w:val="28"/>
        </w:rPr>
        <w:t>5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54C7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AE02A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>.</w:t>
      </w:r>
    </w:p>
    <w:p w:rsidR="00397051" w:rsidRPr="00AE02A7" w:rsidRDefault="005825EF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>Визнати таким, що втратило</w:t>
      </w:r>
      <w:r w:rsidR="00397051">
        <w:rPr>
          <w:rStyle w:val="1840"/>
          <w:rFonts w:eastAsiaTheme="majorEastAsia"/>
          <w:kern w:val="2"/>
          <w:sz w:val="28"/>
          <w:szCs w:val="28"/>
        </w:rPr>
        <w:t xml:space="preserve"> рішення виконавчого комітету Малинської міської ради Житомирської області </w:t>
      </w:r>
      <w:r w:rsidRPr="003100C6">
        <w:rPr>
          <w:rFonts w:ascii="Times New Roman" w:hAnsi="Times New Roman"/>
          <w:sz w:val="28"/>
          <w:szCs w:val="28"/>
          <w:lang w:eastAsia="uk-UA"/>
        </w:rPr>
        <w:t xml:space="preserve">від </w:t>
      </w:r>
      <w:r w:rsidRPr="00397051">
        <w:rPr>
          <w:rFonts w:ascii="Times New Roman" w:hAnsi="Times New Roman"/>
          <w:sz w:val="28"/>
          <w:szCs w:val="28"/>
          <w:lang w:eastAsia="uk-UA"/>
        </w:rPr>
        <w:t xml:space="preserve">10.06.2025 </w:t>
      </w:r>
      <w:r w:rsidR="00397051" w:rsidRPr="003100C6">
        <w:rPr>
          <w:rFonts w:ascii="Times New Roman" w:hAnsi="Times New Roman"/>
          <w:sz w:val="28"/>
          <w:szCs w:val="28"/>
          <w:lang w:eastAsia="uk-UA"/>
        </w:rPr>
        <w:t xml:space="preserve">№ </w:t>
      </w:r>
      <w:r w:rsidR="00397051" w:rsidRPr="00397051">
        <w:rPr>
          <w:rFonts w:ascii="Times New Roman" w:hAnsi="Times New Roman"/>
          <w:sz w:val="28"/>
          <w:szCs w:val="28"/>
          <w:lang w:eastAsia="uk-UA"/>
        </w:rPr>
        <w:t>200</w:t>
      </w:r>
      <w:r w:rsidR="00397051" w:rsidRPr="003100C6">
        <w:rPr>
          <w:rFonts w:ascii="Times New Roman" w:hAnsi="Times New Roman"/>
          <w:sz w:val="28"/>
          <w:szCs w:val="28"/>
          <w:lang w:eastAsia="uk-UA"/>
        </w:rPr>
        <w:t xml:space="preserve"> «</w:t>
      </w:r>
      <w:r w:rsidR="00397051" w:rsidRPr="00397051">
        <w:rPr>
          <w:rFonts w:ascii="Times New Roman" w:hAnsi="Times New Roman"/>
          <w:kern w:val="2"/>
          <w:sz w:val="28"/>
          <w:szCs w:val="28"/>
        </w:rPr>
        <w:t>П</w:t>
      </w:r>
      <w:r w:rsidR="00397051" w:rsidRPr="00397051"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на виїзд за кордон дитині </w:t>
      </w:r>
      <w:r w:rsidR="00854C78">
        <w:rPr>
          <w:rStyle w:val="1840"/>
          <w:rFonts w:eastAsiaTheme="majorEastAsia"/>
          <w:kern w:val="2"/>
          <w:sz w:val="28"/>
          <w:szCs w:val="28"/>
        </w:rPr>
        <w:t>***</w:t>
      </w:r>
      <w:r w:rsidR="00397051" w:rsidRPr="003100C6">
        <w:rPr>
          <w:rFonts w:ascii="Times New Roman" w:hAnsi="Times New Roman"/>
          <w:bCs/>
          <w:sz w:val="28"/>
          <w:szCs w:val="28"/>
          <w:lang w:eastAsia="uk-UA"/>
        </w:rPr>
        <w:t>»</w:t>
      </w:r>
      <w:r w:rsidR="00397051" w:rsidRPr="003100C6">
        <w:rPr>
          <w:rFonts w:ascii="Times New Roman" w:hAnsi="Times New Roman"/>
          <w:sz w:val="28"/>
          <w:szCs w:val="28"/>
          <w:lang w:eastAsia="uk-UA"/>
        </w:rPr>
        <w:t>.</w:t>
      </w:r>
    </w:p>
    <w:p w:rsidR="00E81D91" w:rsidRPr="002546FA" w:rsidRDefault="002A7FF7" w:rsidP="00397051">
      <w:pPr>
        <w:pStyle w:val="ae"/>
        <w:numPr>
          <w:ilvl w:val="0"/>
          <w:numId w:val="1"/>
        </w:numPr>
        <w:spacing w:before="0"/>
        <w:ind w:left="0" w:right="357" w:firstLine="5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>в семиденний строк після 30.0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про відповідальність, передбачену частиною сьомою статті 184 Кодексу України про адміністративні правопорушення за умисне порушення </w:t>
      </w:r>
      <w:r w:rsidRPr="008E32A0">
        <w:rPr>
          <w:rFonts w:ascii="Times New Roman" w:hAnsi="Times New Roman"/>
          <w:kern w:val="2"/>
          <w:sz w:val="28"/>
          <w:szCs w:val="28"/>
        </w:rPr>
        <w:lastRenderedPageBreak/>
        <w:t>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397051">
      <w:pPr>
        <w:pStyle w:val="a8"/>
        <w:numPr>
          <w:ilvl w:val="0"/>
          <w:numId w:val="1"/>
        </w:numPr>
        <w:ind w:left="142" w:right="333" w:firstLine="5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030F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abstractNum w:abstractNumId="3">
    <w:nsid w:val="7D0B55C9"/>
    <w:multiLevelType w:val="hybridMultilevel"/>
    <w:tmpl w:val="77CC67CE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3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2732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100C6"/>
    <w:rsid w:val="0032092D"/>
    <w:rsid w:val="003213B3"/>
    <w:rsid w:val="003226AA"/>
    <w:rsid w:val="003248D2"/>
    <w:rsid w:val="003277AD"/>
    <w:rsid w:val="00343138"/>
    <w:rsid w:val="0036075D"/>
    <w:rsid w:val="00363566"/>
    <w:rsid w:val="00397051"/>
    <w:rsid w:val="003A7BFE"/>
    <w:rsid w:val="003D48C5"/>
    <w:rsid w:val="003D6C9A"/>
    <w:rsid w:val="003F6435"/>
    <w:rsid w:val="0042613C"/>
    <w:rsid w:val="00435957"/>
    <w:rsid w:val="004430D5"/>
    <w:rsid w:val="0047579F"/>
    <w:rsid w:val="004770B0"/>
    <w:rsid w:val="004E11E2"/>
    <w:rsid w:val="004F119A"/>
    <w:rsid w:val="00504251"/>
    <w:rsid w:val="00510743"/>
    <w:rsid w:val="00514EAC"/>
    <w:rsid w:val="0055632E"/>
    <w:rsid w:val="00564489"/>
    <w:rsid w:val="005825E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54C78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30904"/>
    <w:rsid w:val="00A441D8"/>
    <w:rsid w:val="00A710FA"/>
    <w:rsid w:val="00A8264A"/>
    <w:rsid w:val="00AA1BEE"/>
    <w:rsid w:val="00AE02A7"/>
    <w:rsid w:val="00AE1200"/>
    <w:rsid w:val="00B37BA5"/>
    <w:rsid w:val="00B41C5F"/>
    <w:rsid w:val="00B52C84"/>
    <w:rsid w:val="00B536A1"/>
    <w:rsid w:val="00B77B30"/>
    <w:rsid w:val="00B910F4"/>
    <w:rsid w:val="00BF146E"/>
    <w:rsid w:val="00C53EA1"/>
    <w:rsid w:val="00C556FF"/>
    <w:rsid w:val="00C63047"/>
    <w:rsid w:val="00C97AE1"/>
    <w:rsid w:val="00CB44E5"/>
    <w:rsid w:val="00CC40C6"/>
    <w:rsid w:val="00CD20B1"/>
    <w:rsid w:val="00D20A40"/>
    <w:rsid w:val="00D325C9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86756"/>
    <w:rsid w:val="00ED1183"/>
    <w:rsid w:val="00EE15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14</cp:revision>
  <cp:lastPrinted>2025-07-02T12:27:00Z</cp:lastPrinted>
  <dcterms:created xsi:type="dcterms:W3CDTF">2025-07-02T07:18:00Z</dcterms:created>
  <dcterms:modified xsi:type="dcterms:W3CDTF">2025-07-04T12:07:00Z</dcterms:modified>
</cp:coreProperties>
</file>